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CBEA" w14:textId="77777777" w:rsidR="001C4734" w:rsidRPr="001B4EA3" w:rsidRDefault="001C4734" w:rsidP="001C4734">
      <w:pPr>
        <w:jc w:val="center"/>
        <w:rPr>
          <w:rFonts w:ascii="Arial Narrow" w:hAnsi="Arial Narrow"/>
          <w:sz w:val="16"/>
          <w:szCs w:val="16"/>
        </w:rPr>
      </w:pPr>
      <w:r w:rsidRPr="001B4EA3">
        <w:rPr>
          <w:rFonts w:ascii="Arial Narrow" w:hAnsi="Arial Narrow"/>
          <w:sz w:val="16"/>
          <w:szCs w:val="16"/>
        </w:rPr>
        <w:t>NOTICE OF PUBLIC HEARING</w:t>
      </w:r>
    </w:p>
    <w:p w14:paraId="7E969D2E" w14:textId="77777777" w:rsidR="001C4734" w:rsidRPr="001B4EA3" w:rsidRDefault="001C4734" w:rsidP="001C4734">
      <w:pPr>
        <w:jc w:val="center"/>
        <w:rPr>
          <w:rFonts w:ascii="Arial Narrow" w:hAnsi="Arial Narrow"/>
          <w:sz w:val="16"/>
          <w:szCs w:val="16"/>
        </w:rPr>
      </w:pPr>
      <w:r w:rsidRPr="001B4EA3">
        <w:rPr>
          <w:rFonts w:ascii="Arial Narrow" w:hAnsi="Arial Narrow"/>
          <w:sz w:val="16"/>
          <w:szCs w:val="16"/>
        </w:rPr>
        <w:t>ON PROPOSED</w:t>
      </w:r>
    </w:p>
    <w:p w14:paraId="7318F15B" w14:textId="2B30FF04" w:rsidR="001C4734" w:rsidRPr="00817D1E" w:rsidRDefault="00A03B09" w:rsidP="003D56DF">
      <w:pPr>
        <w:jc w:val="center"/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6"/>
          <w:szCs w:val="16"/>
        </w:rPr>
        <w:t xml:space="preserve">LOUISIANA UNIFORM LOCAL SALES TAX BOARD </w:t>
      </w:r>
      <w:r w:rsidR="001C4734" w:rsidRPr="001B4EA3">
        <w:rPr>
          <w:rFonts w:ascii="Arial Narrow" w:hAnsi="Arial Narrow"/>
          <w:sz w:val="16"/>
          <w:szCs w:val="16"/>
        </w:rPr>
        <w:t xml:space="preserve">BUDGET </w:t>
      </w:r>
      <w:r w:rsidR="00BB31D8">
        <w:rPr>
          <w:rFonts w:ascii="Arial Narrow" w:hAnsi="Arial Narrow"/>
          <w:sz w:val="16"/>
          <w:szCs w:val="16"/>
        </w:rPr>
        <w:t>20</w:t>
      </w:r>
      <w:r w:rsidR="0049647A">
        <w:rPr>
          <w:rFonts w:ascii="Arial Narrow" w:hAnsi="Arial Narrow"/>
          <w:sz w:val="16"/>
          <w:szCs w:val="16"/>
        </w:rPr>
        <w:t>21</w:t>
      </w:r>
      <w:r w:rsidR="0091731A">
        <w:rPr>
          <w:rFonts w:ascii="Arial Narrow" w:hAnsi="Arial Narrow"/>
          <w:sz w:val="16"/>
          <w:szCs w:val="16"/>
        </w:rPr>
        <w:t>-2</w:t>
      </w:r>
      <w:r w:rsidR="0049647A">
        <w:rPr>
          <w:rFonts w:ascii="Arial Narrow" w:hAnsi="Arial Narrow"/>
          <w:sz w:val="16"/>
          <w:szCs w:val="16"/>
        </w:rPr>
        <w:t>2</w:t>
      </w:r>
    </w:p>
    <w:p w14:paraId="1EF035CF" w14:textId="77777777" w:rsidR="003D56DF" w:rsidRPr="00817D1E" w:rsidRDefault="003D56DF" w:rsidP="003D56DF">
      <w:pPr>
        <w:jc w:val="center"/>
        <w:rPr>
          <w:rFonts w:ascii="Arial Narrow" w:hAnsi="Arial Narrow"/>
          <w:sz w:val="2"/>
          <w:szCs w:val="16"/>
        </w:rPr>
      </w:pPr>
    </w:p>
    <w:p w14:paraId="004D0285" w14:textId="44C3B0FE" w:rsidR="001C4734" w:rsidRPr="00817D1E" w:rsidRDefault="001C4734" w:rsidP="001C4734">
      <w:pPr>
        <w:jc w:val="both"/>
        <w:rPr>
          <w:rFonts w:ascii="Arial Narrow" w:hAnsi="Arial Narrow"/>
          <w:sz w:val="8"/>
          <w:szCs w:val="16"/>
        </w:rPr>
      </w:pPr>
      <w:r w:rsidRPr="001B4EA3">
        <w:rPr>
          <w:rFonts w:ascii="Arial Narrow" w:hAnsi="Arial Narrow"/>
          <w:sz w:val="16"/>
          <w:szCs w:val="16"/>
        </w:rPr>
        <w:tab/>
        <w:t xml:space="preserve">The </w:t>
      </w:r>
      <w:r w:rsidR="00A03B09">
        <w:rPr>
          <w:rFonts w:ascii="Arial Narrow" w:hAnsi="Arial Narrow"/>
          <w:sz w:val="16"/>
          <w:szCs w:val="16"/>
        </w:rPr>
        <w:t>Louisiana Uniform Local Sales Tax Board</w:t>
      </w:r>
      <w:r w:rsidRPr="001B4EA3">
        <w:rPr>
          <w:rFonts w:ascii="Arial Narrow" w:hAnsi="Arial Narrow"/>
          <w:sz w:val="16"/>
          <w:szCs w:val="16"/>
        </w:rPr>
        <w:t xml:space="preserve"> will hold a public hearing at </w:t>
      </w:r>
      <w:r w:rsidR="00696B77">
        <w:rPr>
          <w:rFonts w:ascii="Arial Narrow" w:hAnsi="Arial Narrow"/>
          <w:sz w:val="16"/>
          <w:szCs w:val="16"/>
        </w:rPr>
        <w:t>1</w:t>
      </w:r>
      <w:r w:rsidR="00EE4B5F">
        <w:rPr>
          <w:rFonts w:ascii="Arial Narrow" w:hAnsi="Arial Narrow"/>
          <w:sz w:val="16"/>
          <w:szCs w:val="16"/>
        </w:rPr>
        <w:t>:</w:t>
      </w:r>
      <w:r w:rsidR="0049647A">
        <w:rPr>
          <w:rFonts w:ascii="Arial Narrow" w:hAnsi="Arial Narrow"/>
          <w:sz w:val="16"/>
          <w:szCs w:val="16"/>
        </w:rPr>
        <w:t>00</w:t>
      </w:r>
      <w:r w:rsidRPr="001B4EA3">
        <w:rPr>
          <w:rFonts w:ascii="Arial Narrow" w:hAnsi="Arial Narrow"/>
          <w:sz w:val="16"/>
          <w:szCs w:val="16"/>
        </w:rPr>
        <w:t xml:space="preserve"> </w:t>
      </w:r>
      <w:r w:rsidR="00EE4B5F">
        <w:rPr>
          <w:rFonts w:ascii="Arial Narrow" w:hAnsi="Arial Narrow"/>
          <w:sz w:val="16"/>
          <w:szCs w:val="16"/>
        </w:rPr>
        <w:t>P</w:t>
      </w:r>
      <w:r w:rsidRPr="001B4EA3">
        <w:rPr>
          <w:rFonts w:ascii="Arial Narrow" w:hAnsi="Arial Narrow"/>
          <w:sz w:val="16"/>
          <w:szCs w:val="16"/>
        </w:rPr>
        <w:t xml:space="preserve">.M., on </w:t>
      </w:r>
      <w:r w:rsidR="00696B77">
        <w:rPr>
          <w:rFonts w:ascii="Arial Narrow" w:hAnsi="Arial Narrow"/>
          <w:sz w:val="16"/>
          <w:szCs w:val="16"/>
        </w:rPr>
        <w:t>Thursday</w:t>
      </w:r>
      <w:r w:rsidRPr="001B4EA3">
        <w:rPr>
          <w:rFonts w:ascii="Arial Narrow" w:hAnsi="Arial Narrow"/>
          <w:sz w:val="16"/>
          <w:szCs w:val="16"/>
        </w:rPr>
        <w:t>,</w:t>
      </w:r>
      <w:r w:rsidR="00EE4B5F">
        <w:rPr>
          <w:rFonts w:ascii="Arial Narrow" w:hAnsi="Arial Narrow"/>
          <w:sz w:val="16"/>
          <w:szCs w:val="16"/>
        </w:rPr>
        <w:t xml:space="preserve"> </w:t>
      </w:r>
      <w:r w:rsidR="0049647A">
        <w:rPr>
          <w:rFonts w:ascii="Arial Narrow" w:hAnsi="Arial Narrow"/>
          <w:sz w:val="16"/>
          <w:szCs w:val="16"/>
        </w:rPr>
        <w:t>June 10,</w:t>
      </w:r>
      <w:r w:rsidR="00EE4B5F">
        <w:rPr>
          <w:rFonts w:ascii="Arial Narrow" w:hAnsi="Arial Narrow"/>
          <w:sz w:val="16"/>
          <w:szCs w:val="16"/>
        </w:rPr>
        <w:t xml:space="preserve"> </w:t>
      </w:r>
      <w:r w:rsidR="00BB31D8">
        <w:rPr>
          <w:rFonts w:ascii="Arial Narrow" w:hAnsi="Arial Narrow"/>
          <w:sz w:val="16"/>
          <w:szCs w:val="16"/>
        </w:rPr>
        <w:t>20</w:t>
      </w:r>
      <w:r w:rsidR="0049647A">
        <w:rPr>
          <w:rFonts w:ascii="Arial Narrow" w:hAnsi="Arial Narrow"/>
          <w:sz w:val="16"/>
          <w:szCs w:val="16"/>
        </w:rPr>
        <w:t>21</w:t>
      </w:r>
      <w:r w:rsidRPr="001B4EA3">
        <w:rPr>
          <w:rFonts w:ascii="Arial Narrow" w:hAnsi="Arial Narrow"/>
          <w:sz w:val="16"/>
          <w:szCs w:val="16"/>
        </w:rPr>
        <w:t xml:space="preserve">, </w:t>
      </w:r>
      <w:r w:rsidR="0049647A">
        <w:rPr>
          <w:rFonts w:ascii="Arial Narrow" w:hAnsi="Arial Narrow"/>
          <w:sz w:val="16"/>
          <w:szCs w:val="16"/>
        </w:rPr>
        <w:t>7722 Office Park Blvd</w:t>
      </w:r>
      <w:r w:rsidR="00696B77" w:rsidRPr="00696B77">
        <w:rPr>
          <w:rFonts w:ascii="Arial Narrow" w:hAnsi="Arial Narrow"/>
          <w:sz w:val="16"/>
          <w:szCs w:val="16"/>
        </w:rPr>
        <w:t>, Baton Rouge, L</w:t>
      </w:r>
      <w:r w:rsidR="00696B77">
        <w:rPr>
          <w:rFonts w:ascii="Arial Narrow" w:hAnsi="Arial Narrow"/>
          <w:sz w:val="16"/>
          <w:szCs w:val="16"/>
        </w:rPr>
        <w:t>ouisiana,</w:t>
      </w:r>
      <w:r w:rsidR="00696B77" w:rsidRPr="00696B77">
        <w:rPr>
          <w:rFonts w:ascii="Arial Narrow" w:hAnsi="Arial Narrow"/>
          <w:sz w:val="16"/>
          <w:szCs w:val="16"/>
        </w:rPr>
        <w:t xml:space="preserve"> </w:t>
      </w:r>
      <w:r w:rsidR="0049647A">
        <w:rPr>
          <w:rFonts w:ascii="Arial Narrow" w:hAnsi="Arial Narrow"/>
          <w:sz w:val="16"/>
          <w:szCs w:val="16"/>
        </w:rPr>
        <w:t>f</w:t>
      </w:r>
      <w:r w:rsidRPr="001B4EA3">
        <w:rPr>
          <w:rFonts w:ascii="Arial Narrow" w:hAnsi="Arial Narrow"/>
          <w:sz w:val="16"/>
          <w:szCs w:val="16"/>
        </w:rPr>
        <w:t>or the purpose of receiving written and oral comment from the public concerning the proposed annual budget for fiscal year 20</w:t>
      </w:r>
      <w:r w:rsidR="00EE4B5F">
        <w:rPr>
          <w:rFonts w:ascii="Arial Narrow" w:hAnsi="Arial Narrow"/>
          <w:sz w:val="16"/>
          <w:szCs w:val="16"/>
        </w:rPr>
        <w:t>2</w:t>
      </w:r>
      <w:r w:rsidR="0049647A">
        <w:rPr>
          <w:rFonts w:ascii="Arial Narrow" w:hAnsi="Arial Narrow"/>
          <w:sz w:val="16"/>
          <w:szCs w:val="16"/>
        </w:rPr>
        <w:t>2</w:t>
      </w:r>
      <w:r w:rsidR="00EE4B5F">
        <w:rPr>
          <w:rFonts w:ascii="Arial Narrow" w:hAnsi="Arial Narrow"/>
          <w:sz w:val="16"/>
          <w:szCs w:val="16"/>
        </w:rPr>
        <w:t xml:space="preserve"> a</w:t>
      </w:r>
      <w:r w:rsidRPr="001B4EA3">
        <w:rPr>
          <w:rFonts w:ascii="Arial Narrow" w:hAnsi="Arial Narrow"/>
          <w:sz w:val="16"/>
          <w:szCs w:val="16"/>
        </w:rPr>
        <w:t>s summarized below:</w:t>
      </w:r>
    </w:p>
    <w:p w14:paraId="25666443" w14:textId="77777777" w:rsidR="00D35DC8" w:rsidRPr="00817D1E" w:rsidRDefault="00D35DC8" w:rsidP="001C4734">
      <w:pPr>
        <w:jc w:val="both"/>
        <w:rPr>
          <w:rFonts w:ascii="Arial Narrow" w:hAnsi="Arial Narrow"/>
          <w:sz w:val="4"/>
          <w:szCs w:val="16"/>
        </w:rPr>
      </w:pPr>
    </w:p>
    <w:p w14:paraId="64211DCE" w14:textId="573CF4BD" w:rsidR="001C4734" w:rsidRPr="00817D1E" w:rsidRDefault="001C4734" w:rsidP="001C4734">
      <w:pPr>
        <w:jc w:val="center"/>
        <w:rPr>
          <w:rFonts w:ascii="Arial Narrow" w:hAnsi="Arial Narrow"/>
          <w:b/>
          <w:sz w:val="18"/>
          <w:szCs w:val="18"/>
        </w:rPr>
      </w:pPr>
      <w:r w:rsidRPr="00817D1E">
        <w:rPr>
          <w:rFonts w:ascii="Arial Narrow" w:hAnsi="Arial Narrow"/>
          <w:b/>
          <w:sz w:val="18"/>
          <w:szCs w:val="18"/>
        </w:rPr>
        <w:t xml:space="preserve">SUMMARY OF PROPOSED </w:t>
      </w:r>
      <w:r w:rsidR="00886B65">
        <w:rPr>
          <w:rFonts w:ascii="Arial Narrow" w:hAnsi="Arial Narrow"/>
          <w:b/>
          <w:sz w:val="18"/>
          <w:szCs w:val="18"/>
        </w:rPr>
        <w:t>2022</w:t>
      </w:r>
      <w:bookmarkStart w:id="0" w:name="_GoBack"/>
      <w:bookmarkEnd w:id="0"/>
      <w:r w:rsidR="00A746DB" w:rsidRPr="00817D1E">
        <w:rPr>
          <w:rFonts w:ascii="Arial Narrow" w:hAnsi="Arial Narrow"/>
          <w:b/>
          <w:sz w:val="18"/>
          <w:szCs w:val="18"/>
        </w:rPr>
        <w:t xml:space="preserve"> </w:t>
      </w:r>
      <w:r w:rsidRPr="00817D1E">
        <w:rPr>
          <w:rFonts w:ascii="Arial Narrow" w:hAnsi="Arial Narrow"/>
          <w:b/>
          <w:sz w:val="18"/>
          <w:szCs w:val="18"/>
        </w:rPr>
        <w:t>BUDGET</w:t>
      </w:r>
    </w:p>
    <w:tbl>
      <w:tblPr>
        <w:tblpPr w:leftFromText="180" w:rightFromText="180" w:vertAnchor="text" w:horzAnchor="margin" w:tblpY="89"/>
        <w:tblW w:w="9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46"/>
        <w:gridCol w:w="3886"/>
        <w:gridCol w:w="1536"/>
        <w:gridCol w:w="1499"/>
      </w:tblGrid>
      <w:tr w:rsidR="00E0268C" w:rsidRPr="00391134" w14:paraId="0D9F44FB" w14:textId="77777777" w:rsidTr="00240E46">
        <w:trPr>
          <w:trHeight w:val="350"/>
        </w:trPr>
        <w:tc>
          <w:tcPr>
            <w:tcW w:w="14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14A4A" w14:textId="77777777" w:rsidR="00E0268C" w:rsidRPr="00391134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0BECA6" w14:textId="77777777" w:rsidR="00E0268C" w:rsidRPr="00391134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1134">
              <w:rPr>
                <w:rFonts w:ascii="Arial Narrow" w:hAnsi="Arial Narrow"/>
                <w:sz w:val="16"/>
                <w:szCs w:val="16"/>
              </w:rPr>
              <w:t>FUND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26821" w14:textId="77777777" w:rsidR="00E0268C" w:rsidRPr="00391134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1134">
              <w:rPr>
                <w:rFonts w:ascii="Arial Narrow" w:hAnsi="Arial Narrow"/>
                <w:sz w:val="16"/>
                <w:szCs w:val="16"/>
              </w:rPr>
              <w:t>BEG. BALANCE</w:t>
            </w:r>
          </w:p>
          <w:p w14:paraId="05E1B34D" w14:textId="77777777" w:rsidR="00E0268C" w:rsidRPr="00391134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1134">
              <w:rPr>
                <w:rFonts w:ascii="Arial Narrow" w:hAnsi="Arial Narrow"/>
                <w:sz w:val="16"/>
                <w:szCs w:val="16"/>
              </w:rPr>
              <w:t>&amp; REVENUE</w:t>
            </w:r>
          </w:p>
        </w:tc>
        <w:tc>
          <w:tcPr>
            <w:tcW w:w="3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8475F" w14:textId="77777777" w:rsidR="00E0268C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8C6DC67" w14:textId="77777777" w:rsidR="00E0268C" w:rsidRPr="00391134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EXPENDITURE DESCRIPTION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253E7" w14:textId="77777777" w:rsidR="00E0268C" w:rsidRPr="00E0268C" w:rsidRDefault="00E0268C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EXPENDITURE AMOUNT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59A1C1" w14:textId="77777777" w:rsidR="00E0268C" w:rsidRPr="00391134" w:rsidRDefault="001861B5" w:rsidP="00E026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REVENUE OVER EXPENDITURES</w:t>
            </w:r>
          </w:p>
        </w:tc>
      </w:tr>
      <w:tr w:rsidR="00E0268C" w:rsidRPr="00391134" w14:paraId="09046002" w14:textId="77777777" w:rsidTr="00240E46">
        <w:trPr>
          <w:trHeight w:val="234"/>
        </w:trPr>
        <w:tc>
          <w:tcPr>
            <w:tcW w:w="1464" w:type="dxa"/>
            <w:tcBorders>
              <w:top w:val="double" w:sz="4" w:space="0" w:color="auto"/>
              <w:right w:val="double" w:sz="4" w:space="0" w:color="auto"/>
            </w:tcBorders>
          </w:tcPr>
          <w:p w14:paraId="3225F8D2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  <w:r w:rsidRPr="00391134">
              <w:rPr>
                <w:sz w:val="20"/>
                <w:szCs w:val="20"/>
              </w:rPr>
              <w:t>General Fund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C76D7F" w14:textId="55501C2C" w:rsidR="00E0268C" w:rsidRPr="00391134" w:rsidRDefault="00AB167D" w:rsidP="00B86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822,947</w:t>
            </w:r>
          </w:p>
        </w:tc>
        <w:tc>
          <w:tcPr>
            <w:tcW w:w="38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C09FD6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C0DAF0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</w:tcBorders>
          </w:tcPr>
          <w:p w14:paraId="079C0F52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57365D5E" w14:textId="77777777" w:rsidTr="00240E46">
        <w:trPr>
          <w:trHeight w:val="234"/>
        </w:trPr>
        <w:tc>
          <w:tcPr>
            <w:tcW w:w="1464" w:type="dxa"/>
            <w:tcBorders>
              <w:right w:val="double" w:sz="4" w:space="0" w:color="auto"/>
            </w:tcBorders>
          </w:tcPr>
          <w:p w14:paraId="07E3EE71" w14:textId="77777777" w:rsidR="00E0268C" w:rsidRPr="00391134" w:rsidRDefault="00B86734" w:rsidP="00E0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</w:t>
            </w: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4E3F23FD" w14:textId="1C91303F" w:rsidR="00E0268C" w:rsidRPr="00391134" w:rsidRDefault="00AB167D" w:rsidP="00E02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1,363,450</w:t>
            </w: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675490ED" w14:textId="77777777" w:rsidR="00E0268C" w:rsidRPr="00391134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Services – Salaries &amp; Wages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3248C324" w14:textId="328B0E8D" w:rsidR="00CB1E0A" w:rsidRPr="00391134" w:rsidRDefault="00AB167D" w:rsidP="00B867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197,600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2C731D43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45EDFAE9" w14:textId="77777777" w:rsidTr="00240E46">
        <w:trPr>
          <w:trHeight w:val="234"/>
        </w:trPr>
        <w:tc>
          <w:tcPr>
            <w:tcW w:w="1464" w:type="dxa"/>
            <w:tcBorders>
              <w:right w:val="double" w:sz="4" w:space="0" w:color="auto"/>
            </w:tcBorders>
          </w:tcPr>
          <w:p w14:paraId="5BA8CAAB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7573F50F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7C8D32B6" w14:textId="77777777" w:rsidR="00E0268C" w:rsidRPr="00391134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Services – Employee Benefits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4FDF7078" w14:textId="3B5B8269" w:rsidR="00E0268C" w:rsidRPr="00391134" w:rsidRDefault="00AB167D" w:rsidP="001861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40,515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49EA8B47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26A11097" w14:textId="77777777" w:rsidTr="00240E46">
        <w:trPr>
          <w:trHeight w:val="234"/>
        </w:trPr>
        <w:tc>
          <w:tcPr>
            <w:tcW w:w="1464" w:type="dxa"/>
            <w:tcBorders>
              <w:right w:val="double" w:sz="4" w:space="0" w:color="auto"/>
            </w:tcBorders>
          </w:tcPr>
          <w:p w14:paraId="55BF877F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2FBDFE96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26DC861A" w14:textId="77777777" w:rsidR="00E0268C" w:rsidRPr="00391134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Professional &amp; Technical Services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75116377" w14:textId="08D90F05" w:rsidR="00E0268C" w:rsidRPr="00391134" w:rsidRDefault="00AB167D" w:rsidP="001861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251,340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3721CC22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1B223FFA" w14:textId="77777777" w:rsidTr="00240E46">
        <w:trPr>
          <w:trHeight w:val="234"/>
        </w:trPr>
        <w:tc>
          <w:tcPr>
            <w:tcW w:w="1464" w:type="dxa"/>
            <w:tcBorders>
              <w:right w:val="double" w:sz="4" w:space="0" w:color="auto"/>
            </w:tcBorders>
          </w:tcPr>
          <w:p w14:paraId="0C063B56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661F1AD9" w14:textId="77777777" w:rsidR="00E0268C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5255D10B" w14:textId="77777777" w:rsidR="00E0268C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Property Services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41418783" w14:textId="3A676899" w:rsidR="00E0268C" w:rsidRPr="00391134" w:rsidRDefault="00AB167D" w:rsidP="00E02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15,196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09F87161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4D9A5709" w14:textId="77777777" w:rsidTr="00240E46">
        <w:trPr>
          <w:trHeight w:val="248"/>
        </w:trPr>
        <w:tc>
          <w:tcPr>
            <w:tcW w:w="1464" w:type="dxa"/>
            <w:tcBorders>
              <w:right w:val="double" w:sz="4" w:space="0" w:color="auto"/>
            </w:tcBorders>
          </w:tcPr>
          <w:p w14:paraId="0BFD13F8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06F3C2C6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5083E9D0" w14:textId="77777777" w:rsidR="00E0268C" w:rsidRPr="00391134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Purchased Services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6FADC021" w14:textId="1E7497BF" w:rsidR="00E0268C" w:rsidRPr="00391134" w:rsidRDefault="00240E46" w:rsidP="00E026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2,674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77B09D95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4A7B6B7A" w14:textId="77777777" w:rsidTr="00240E46">
        <w:trPr>
          <w:trHeight w:val="234"/>
        </w:trPr>
        <w:tc>
          <w:tcPr>
            <w:tcW w:w="1464" w:type="dxa"/>
            <w:tcBorders>
              <w:right w:val="double" w:sz="4" w:space="0" w:color="auto"/>
            </w:tcBorders>
          </w:tcPr>
          <w:p w14:paraId="3509E27D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5742B6AA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35668F1F" w14:textId="77777777" w:rsidR="00E0268C" w:rsidRPr="00391134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3A8D594D" w14:textId="7AFD151E" w:rsidR="00E0268C" w:rsidRPr="00391134" w:rsidRDefault="00240E46" w:rsidP="001861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5BA7ABEC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391134" w14:paraId="6A38176F" w14:textId="77777777" w:rsidTr="0080204A">
        <w:trPr>
          <w:trHeight w:val="274"/>
        </w:trPr>
        <w:tc>
          <w:tcPr>
            <w:tcW w:w="1464" w:type="dxa"/>
            <w:tcBorders>
              <w:right w:val="double" w:sz="4" w:space="0" w:color="auto"/>
            </w:tcBorders>
          </w:tcPr>
          <w:p w14:paraId="7BD712FD" w14:textId="77777777" w:rsidR="00E0268C" w:rsidRPr="00391134" w:rsidRDefault="00E0268C" w:rsidP="00E0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</w:tcPr>
          <w:p w14:paraId="050074CA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double" w:sz="4" w:space="0" w:color="auto"/>
              <w:right w:val="double" w:sz="4" w:space="0" w:color="auto"/>
            </w:tcBorders>
          </w:tcPr>
          <w:p w14:paraId="7D8D2D0A" w14:textId="3644B5DF" w:rsidR="00E0268C" w:rsidRPr="00391134" w:rsidRDefault="00E0268C" w:rsidP="00E0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="00240E46">
              <w:rPr>
                <w:sz w:val="20"/>
                <w:szCs w:val="20"/>
              </w:rPr>
              <w:t>-Software Licenses</w:t>
            </w:r>
          </w:p>
        </w:tc>
        <w:tc>
          <w:tcPr>
            <w:tcW w:w="1536" w:type="dxa"/>
            <w:tcBorders>
              <w:left w:val="double" w:sz="4" w:space="0" w:color="auto"/>
              <w:right w:val="double" w:sz="4" w:space="0" w:color="auto"/>
            </w:tcBorders>
          </w:tcPr>
          <w:p w14:paraId="2C05D9A9" w14:textId="2FCF1426" w:rsidR="00E0268C" w:rsidRPr="00391134" w:rsidRDefault="00240E46" w:rsidP="00240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20,250</w:t>
            </w:r>
          </w:p>
        </w:tc>
        <w:tc>
          <w:tcPr>
            <w:tcW w:w="1499" w:type="dxa"/>
            <w:tcBorders>
              <w:left w:val="double" w:sz="4" w:space="0" w:color="auto"/>
            </w:tcBorders>
          </w:tcPr>
          <w:p w14:paraId="777BFA23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</w:tr>
      <w:tr w:rsidR="00E0268C" w:rsidRPr="00817D1E" w14:paraId="0BFC7273" w14:textId="77777777" w:rsidTr="0080204A">
        <w:trPr>
          <w:trHeight w:val="325"/>
        </w:trPr>
        <w:tc>
          <w:tcPr>
            <w:tcW w:w="146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4E7EDF2" w14:textId="77777777" w:rsidR="00E0268C" w:rsidRPr="00391134" w:rsidRDefault="00E0268C" w:rsidP="00E0268C">
            <w:pPr>
              <w:jc w:val="center"/>
              <w:rPr>
                <w:sz w:val="20"/>
                <w:szCs w:val="20"/>
              </w:rPr>
            </w:pPr>
            <w:r w:rsidRPr="00391134">
              <w:rPr>
                <w:sz w:val="20"/>
                <w:szCs w:val="20"/>
              </w:rPr>
              <w:t>TOTAL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0109D" w14:textId="234A810D" w:rsidR="00E0268C" w:rsidRPr="00391134" w:rsidRDefault="00240E46" w:rsidP="00CB1E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2,185,947</w:t>
            </w:r>
          </w:p>
        </w:tc>
        <w:tc>
          <w:tcPr>
            <w:tcW w:w="3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A3D9D" w14:textId="77777777" w:rsidR="00E0268C" w:rsidRPr="00391134" w:rsidRDefault="00E0268C" w:rsidP="00E026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A7D10" w14:textId="69999C85" w:rsidR="00E0268C" w:rsidRDefault="00240E46" w:rsidP="00CB1E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528,125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CC6785" w14:textId="73BE1CA7" w:rsidR="00240E46" w:rsidRDefault="00240E46" w:rsidP="00240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1,657,822</w:t>
            </w:r>
          </w:p>
          <w:p w14:paraId="326C9E2A" w14:textId="2AD5475D" w:rsidR="00E0268C" w:rsidRPr="00391134" w:rsidRDefault="00E0268C" w:rsidP="00240E46">
            <w:pPr>
              <w:jc w:val="right"/>
              <w:rPr>
                <w:sz w:val="20"/>
                <w:szCs w:val="20"/>
              </w:rPr>
            </w:pPr>
          </w:p>
        </w:tc>
      </w:tr>
    </w:tbl>
    <w:p w14:paraId="6EBF5A4D" w14:textId="63AC4968" w:rsidR="004E740A" w:rsidRPr="00817D1E" w:rsidRDefault="004E740A" w:rsidP="00D10414">
      <w:pPr>
        <w:jc w:val="both"/>
        <w:rPr>
          <w:rFonts w:ascii="Arial Narrow" w:hAnsi="Arial Narrow"/>
          <w:sz w:val="2"/>
          <w:szCs w:val="16"/>
        </w:rPr>
      </w:pP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  <w:r w:rsidRPr="00817D1E">
        <w:rPr>
          <w:rFonts w:ascii="Arial Narrow" w:hAnsi="Arial Narrow"/>
          <w:sz w:val="2"/>
          <w:szCs w:val="16"/>
        </w:rPr>
        <w:tab/>
      </w:r>
    </w:p>
    <w:p w14:paraId="54188EF2" w14:textId="7F7AA7EB" w:rsidR="00E77B67" w:rsidRDefault="00D62CFE" w:rsidP="00D10414">
      <w:pPr>
        <w:jc w:val="both"/>
        <w:rPr>
          <w:rFonts w:ascii="Arial Narrow" w:hAnsi="Arial Narrow"/>
          <w:sz w:val="16"/>
          <w:szCs w:val="16"/>
        </w:rPr>
      </w:pPr>
      <w:r w:rsidRPr="001B4EA3">
        <w:rPr>
          <w:rFonts w:ascii="Arial Narrow" w:hAnsi="Arial Narrow"/>
          <w:sz w:val="16"/>
          <w:szCs w:val="16"/>
        </w:rPr>
        <w:t>A copy of this information, the entire proposed budget and additional background materials are availabl</w:t>
      </w:r>
      <w:r w:rsidR="00D50668">
        <w:rPr>
          <w:rFonts w:ascii="Arial Narrow" w:hAnsi="Arial Narrow"/>
          <w:sz w:val="16"/>
          <w:szCs w:val="16"/>
        </w:rPr>
        <w:t>e for public inspection</w:t>
      </w:r>
      <w:r w:rsidR="00781C6C">
        <w:rPr>
          <w:rFonts w:ascii="Arial Narrow" w:hAnsi="Arial Narrow"/>
          <w:sz w:val="16"/>
          <w:szCs w:val="16"/>
        </w:rPr>
        <w:t>, by appointme</w:t>
      </w:r>
      <w:r w:rsidR="0049647A">
        <w:rPr>
          <w:rFonts w:ascii="Arial Narrow" w:hAnsi="Arial Narrow"/>
          <w:sz w:val="16"/>
          <w:szCs w:val="16"/>
        </w:rPr>
        <w:t>n</w:t>
      </w:r>
      <w:r w:rsidR="00781C6C">
        <w:rPr>
          <w:rFonts w:ascii="Arial Narrow" w:hAnsi="Arial Narrow"/>
          <w:sz w:val="16"/>
          <w:szCs w:val="16"/>
        </w:rPr>
        <w:t>t</w:t>
      </w:r>
      <w:r w:rsidR="00F10010">
        <w:rPr>
          <w:rFonts w:ascii="Arial Narrow" w:hAnsi="Arial Narrow"/>
          <w:sz w:val="16"/>
          <w:szCs w:val="16"/>
        </w:rPr>
        <w:t>,</w:t>
      </w:r>
      <w:r w:rsidR="00D50668">
        <w:rPr>
          <w:rFonts w:ascii="Arial Narrow" w:hAnsi="Arial Narrow"/>
          <w:sz w:val="16"/>
          <w:szCs w:val="16"/>
        </w:rPr>
        <w:t xml:space="preserve"> from 8:00 A.M. </w:t>
      </w:r>
      <w:proofErr w:type="gramStart"/>
      <w:r w:rsidR="00D50668">
        <w:rPr>
          <w:rFonts w:ascii="Arial Narrow" w:hAnsi="Arial Narrow"/>
          <w:sz w:val="16"/>
          <w:szCs w:val="16"/>
        </w:rPr>
        <w:t xml:space="preserve">to </w:t>
      </w:r>
      <w:r w:rsidR="0049647A">
        <w:rPr>
          <w:rFonts w:ascii="Arial Narrow" w:hAnsi="Arial Narrow"/>
          <w:sz w:val="16"/>
          <w:szCs w:val="16"/>
        </w:rPr>
        <w:t xml:space="preserve"> </w:t>
      </w:r>
      <w:r w:rsidR="00F10010">
        <w:rPr>
          <w:rFonts w:ascii="Arial Narrow" w:hAnsi="Arial Narrow"/>
          <w:sz w:val="16"/>
          <w:szCs w:val="16"/>
        </w:rPr>
        <w:t>4:30</w:t>
      </w:r>
      <w:proofErr w:type="gramEnd"/>
      <w:r w:rsidR="00F10010">
        <w:rPr>
          <w:rFonts w:ascii="Arial Narrow" w:hAnsi="Arial Narrow"/>
          <w:sz w:val="16"/>
          <w:szCs w:val="16"/>
        </w:rPr>
        <w:t xml:space="preserve"> P.M. weekdays, at the address listed above, Suite 2-108.</w:t>
      </w:r>
    </w:p>
    <w:p w14:paraId="0BEEF8FC" w14:textId="77777777" w:rsidR="00F10010" w:rsidRPr="00EE4B5F" w:rsidRDefault="00F10010" w:rsidP="00D10414">
      <w:pPr>
        <w:jc w:val="both"/>
        <w:rPr>
          <w:rFonts w:ascii="Arial Narrow" w:hAnsi="Arial Narrow"/>
          <w:strike/>
          <w:sz w:val="16"/>
          <w:szCs w:val="16"/>
        </w:rPr>
      </w:pPr>
    </w:p>
    <w:p w14:paraId="444930CF" w14:textId="45866FA6" w:rsidR="00E77B67" w:rsidRPr="00AE2AC9" w:rsidRDefault="00E77B67" w:rsidP="00D62CFE">
      <w:pPr>
        <w:rPr>
          <w:rFonts w:ascii="Freestyle Script" w:hAnsi="Freestyle Script"/>
          <w:szCs w:val="32"/>
          <w:u w:val="single"/>
        </w:rPr>
      </w:pPr>
      <w:r w:rsidRPr="00AE2AC9">
        <w:rPr>
          <w:rFonts w:ascii="Freestyle Script" w:hAnsi="Freestyle Script"/>
          <w:szCs w:val="32"/>
          <w:u w:val="single"/>
        </w:rPr>
        <w:t xml:space="preserve">/s/ </w:t>
      </w:r>
      <w:r w:rsidRPr="00AE2AC9">
        <w:rPr>
          <w:rFonts w:ascii="Freestyle Script" w:hAnsi="Freestyle Script"/>
          <w:i/>
          <w:szCs w:val="32"/>
          <w:u w:val="single"/>
        </w:rPr>
        <w:t>J R Bergeron</w:t>
      </w:r>
    </w:p>
    <w:p w14:paraId="486424B5" w14:textId="481E49A4" w:rsidR="00215F3F" w:rsidRDefault="00E77B67" w:rsidP="00D62C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J. Roger Bergeron, Executive Director</w:t>
      </w:r>
    </w:p>
    <w:p w14:paraId="4DFF35EC" w14:textId="0470189D" w:rsidR="00F10010" w:rsidRDefault="00F10010" w:rsidP="00D62C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Email:  </w:t>
      </w:r>
      <w:hyperlink r:id="rId6" w:history="1">
        <w:r w:rsidRPr="00681A36">
          <w:rPr>
            <w:rStyle w:val="Hyperlink"/>
            <w:rFonts w:ascii="Arial Narrow" w:hAnsi="Arial Narrow"/>
            <w:sz w:val="16"/>
            <w:szCs w:val="16"/>
          </w:rPr>
          <w:t>RogerB@localtaxboard.com</w:t>
        </w:r>
      </w:hyperlink>
    </w:p>
    <w:p w14:paraId="52C46CCF" w14:textId="5B6CFEDF" w:rsidR="00F10010" w:rsidRDefault="00F10010" w:rsidP="00D62C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Phone:  225-937-4438</w:t>
      </w:r>
    </w:p>
    <w:sectPr w:rsidR="00F10010" w:rsidSect="00817D1E">
      <w:pgSz w:w="12240" w:h="20160" w:code="5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reestyle 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34"/>
    <w:rsid w:val="000057E1"/>
    <w:rsid w:val="000170FB"/>
    <w:rsid w:val="00044563"/>
    <w:rsid w:val="00077034"/>
    <w:rsid w:val="000C4E74"/>
    <w:rsid w:val="000F7CE1"/>
    <w:rsid w:val="00135FA1"/>
    <w:rsid w:val="001364FF"/>
    <w:rsid w:val="0013764B"/>
    <w:rsid w:val="00142CAF"/>
    <w:rsid w:val="001861B5"/>
    <w:rsid w:val="00194F1E"/>
    <w:rsid w:val="001A60EB"/>
    <w:rsid w:val="001B4EA3"/>
    <w:rsid w:val="001C4734"/>
    <w:rsid w:val="001E139E"/>
    <w:rsid w:val="00215F3F"/>
    <w:rsid w:val="00232651"/>
    <w:rsid w:val="00240E46"/>
    <w:rsid w:val="002515F3"/>
    <w:rsid w:val="002F7898"/>
    <w:rsid w:val="0033618F"/>
    <w:rsid w:val="00357891"/>
    <w:rsid w:val="00366B12"/>
    <w:rsid w:val="00376903"/>
    <w:rsid w:val="00391134"/>
    <w:rsid w:val="003A21BC"/>
    <w:rsid w:val="003A56FF"/>
    <w:rsid w:val="003C45C1"/>
    <w:rsid w:val="003D0BF9"/>
    <w:rsid w:val="003D56DF"/>
    <w:rsid w:val="003D6163"/>
    <w:rsid w:val="00400E5F"/>
    <w:rsid w:val="00454780"/>
    <w:rsid w:val="0045504F"/>
    <w:rsid w:val="0047493D"/>
    <w:rsid w:val="00481E3A"/>
    <w:rsid w:val="00487437"/>
    <w:rsid w:val="0049647A"/>
    <w:rsid w:val="00496ABA"/>
    <w:rsid w:val="004C3DE6"/>
    <w:rsid w:val="004E450E"/>
    <w:rsid w:val="004E740A"/>
    <w:rsid w:val="00555B11"/>
    <w:rsid w:val="005612F1"/>
    <w:rsid w:val="005D69A2"/>
    <w:rsid w:val="005E5425"/>
    <w:rsid w:val="005F6402"/>
    <w:rsid w:val="006110DE"/>
    <w:rsid w:val="00636F5C"/>
    <w:rsid w:val="006547FD"/>
    <w:rsid w:val="00696B77"/>
    <w:rsid w:val="006B0566"/>
    <w:rsid w:val="006F22BB"/>
    <w:rsid w:val="006F39F2"/>
    <w:rsid w:val="00726D63"/>
    <w:rsid w:val="00781C6C"/>
    <w:rsid w:val="00781EAB"/>
    <w:rsid w:val="00781ED1"/>
    <w:rsid w:val="00785FFB"/>
    <w:rsid w:val="007A74DA"/>
    <w:rsid w:val="007B6B60"/>
    <w:rsid w:val="007D6FEC"/>
    <w:rsid w:val="0080204A"/>
    <w:rsid w:val="00815F3E"/>
    <w:rsid w:val="00817D1E"/>
    <w:rsid w:val="008622EE"/>
    <w:rsid w:val="00865389"/>
    <w:rsid w:val="00886B65"/>
    <w:rsid w:val="008977D0"/>
    <w:rsid w:val="008F4844"/>
    <w:rsid w:val="00910051"/>
    <w:rsid w:val="0091731A"/>
    <w:rsid w:val="0093542F"/>
    <w:rsid w:val="00975A1D"/>
    <w:rsid w:val="009935EB"/>
    <w:rsid w:val="009C1FC8"/>
    <w:rsid w:val="009D08AF"/>
    <w:rsid w:val="00A03B09"/>
    <w:rsid w:val="00A141EE"/>
    <w:rsid w:val="00A746DB"/>
    <w:rsid w:val="00A873EE"/>
    <w:rsid w:val="00A87C88"/>
    <w:rsid w:val="00A90D5F"/>
    <w:rsid w:val="00AA5C02"/>
    <w:rsid w:val="00AB167D"/>
    <w:rsid w:val="00AC2C58"/>
    <w:rsid w:val="00AD1368"/>
    <w:rsid w:val="00AE2AC9"/>
    <w:rsid w:val="00AF387A"/>
    <w:rsid w:val="00B13F00"/>
    <w:rsid w:val="00B16363"/>
    <w:rsid w:val="00B64BF4"/>
    <w:rsid w:val="00B86734"/>
    <w:rsid w:val="00B96762"/>
    <w:rsid w:val="00BA1169"/>
    <w:rsid w:val="00BB31D8"/>
    <w:rsid w:val="00BE3BF8"/>
    <w:rsid w:val="00BF0831"/>
    <w:rsid w:val="00C0588B"/>
    <w:rsid w:val="00C21B0B"/>
    <w:rsid w:val="00C36BD1"/>
    <w:rsid w:val="00C62239"/>
    <w:rsid w:val="00C90D3F"/>
    <w:rsid w:val="00CA5DA8"/>
    <w:rsid w:val="00CA6AEE"/>
    <w:rsid w:val="00CB1E0A"/>
    <w:rsid w:val="00CB41E6"/>
    <w:rsid w:val="00CB59DB"/>
    <w:rsid w:val="00CC3F32"/>
    <w:rsid w:val="00CE2B90"/>
    <w:rsid w:val="00CE7066"/>
    <w:rsid w:val="00D0139F"/>
    <w:rsid w:val="00D05B87"/>
    <w:rsid w:val="00D10414"/>
    <w:rsid w:val="00D35DC8"/>
    <w:rsid w:val="00D50668"/>
    <w:rsid w:val="00D62CFE"/>
    <w:rsid w:val="00DD6ACF"/>
    <w:rsid w:val="00DF66CC"/>
    <w:rsid w:val="00E0268C"/>
    <w:rsid w:val="00E04304"/>
    <w:rsid w:val="00E444E1"/>
    <w:rsid w:val="00E672BB"/>
    <w:rsid w:val="00E74557"/>
    <w:rsid w:val="00E77B67"/>
    <w:rsid w:val="00EC4FE4"/>
    <w:rsid w:val="00ED5850"/>
    <w:rsid w:val="00EE02E0"/>
    <w:rsid w:val="00EE4B5F"/>
    <w:rsid w:val="00EE4C69"/>
    <w:rsid w:val="00EF3721"/>
    <w:rsid w:val="00EF4CF2"/>
    <w:rsid w:val="00F10010"/>
    <w:rsid w:val="00F12934"/>
    <w:rsid w:val="00F22360"/>
    <w:rsid w:val="00FA67BF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B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3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3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gerB@localtaxbo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6B09-EF60-A34B-974D-3D9A4B06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Rapides Parish Police Jury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Bruce Kelly</dc:creator>
  <cp:lastModifiedBy>Roger Bergeron</cp:lastModifiedBy>
  <cp:revision>2</cp:revision>
  <cp:lastPrinted>2021-05-27T15:16:00Z</cp:lastPrinted>
  <dcterms:created xsi:type="dcterms:W3CDTF">2021-05-28T13:54:00Z</dcterms:created>
  <dcterms:modified xsi:type="dcterms:W3CDTF">2021-05-28T13:54:00Z</dcterms:modified>
</cp:coreProperties>
</file>